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3C" w:rsidRPr="003F2F3C" w:rsidRDefault="003F2F3C" w:rsidP="003F2F3C">
      <w:pPr>
        <w:shd w:val="clear" w:color="auto" w:fill="EC1C24"/>
        <w:spacing w:after="225" w:line="675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60"/>
          <w:szCs w:val="60"/>
          <w:lang w:eastAsia="ru-RU"/>
        </w:rPr>
      </w:pPr>
      <w:r w:rsidRPr="003F2F3C">
        <w:rPr>
          <w:rFonts w:ascii="Times New Roman" w:eastAsia="Times New Roman" w:hAnsi="Times New Roman" w:cs="Times New Roman"/>
          <w:color w:val="FFFFFF"/>
          <w:kern w:val="36"/>
          <w:sz w:val="60"/>
          <w:szCs w:val="60"/>
          <w:lang w:eastAsia="ru-RU"/>
        </w:rPr>
        <w:t>Ответственность за разглашение персональных данных в 2020 году</w:t>
      </w:r>
    </w:p>
    <w:p w:rsidR="003F2F3C" w:rsidRPr="003F2F3C" w:rsidRDefault="003F2F3C" w:rsidP="003F2F3C">
      <w:pPr>
        <w:spacing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F2F3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Содержание</w:t>
      </w:r>
    </w:p>
    <w:p w:rsidR="003F2F3C" w:rsidRPr="003F2F3C" w:rsidRDefault="003F2F3C" w:rsidP="003F2F3C">
      <w:pPr>
        <w:numPr>
          <w:ilvl w:val="0"/>
          <w:numId w:val="2"/>
        </w:numPr>
        <w:spacing w:before="100" w:beforeAutospacing="1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anchor="vidy-otvetstvennosti-za-narushenie-zakona-o-personalnykh-dannykh" w:history="1">
        <w:r w:rsidRPr="003F2F3C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Виды ответственности за нарушение закона о персональных данных</w:t>
        </w:r>
      </w:hyperlink>
    </w:p>
    <w:p w:rsidR="003F2F3C" w:rsidRPr="003F2F3C" w:rsidRDefault="003F2F3C" w:rsidP="003F2F3C">
      <w:pPr>
        <w:numPr>
          <w:ilvl w:val="0"/>
          <w:numId w:val="2"/>
        </w:numPr>
        <w:spacing w:before="100" w:beforeAutospacing="1" w:after="120" w:line="360" w:lineRule="atLeast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anchor="ugolovnaya-otvetstvennost" w:history="1">
        <w:r w:rsidRPr="003F2F3C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Уголовная ответственность</w:t>
        </w:r>
      </w:hyperlink>
    </w:p>
    <w:p w:rsidR="003F2F3C" w:rsidRPr="003F2F3C" w:rsidRDefault="003F2F3C" w:rsidP="003F2F3C">
      <w:pPr>
        <w:numPr>
          <w:ilvl w:val="0"/>
          <w:numId w:val="2"/>
        </w:numPr>
        <w:spacing w:before="100" w:beforeAutospacing="1" w:after="120" w:line="360" w:lineRule="atLeast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administrativnaya-otvetstvennost" w:history="1">
        <w:r w:rsidRPr="003F2F3C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Административная ответственность</w:t>
        </w:r>
      </w:hyperlink>
    </w:p>
    <w:p w:rsidR="003F2F3C" w:rsidRPr="003F2F3C" w:rsidRDefault="003F2F3C" w:rsidP="003F2F3C">
      <w:pPr>
        <w:numPr>
          <w:ilvl w:val="0"/>
          <w:numId w:val="2"/>
        </w:numPr>
        <w:spacing w:before="100" w:beforeAutospacing="1" w:after="120" w:line="360" w:lineRule="atLeast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grazhdansko-pravovaya-otvetstvennost" w:history="1">
        <w:r w:rsidRPr="003F2F3C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Гражданско-правовая ответственность</w:t>
        </w:r>
      </w:hyperlink>
    </w:p>
    <w:p w:rsidR="003F2F3C" w:rsidRPr="003F2F3C" w:rsidRDefault="003F2F3C" w:rsidP="003F2F3C">
      <w:pPr>
        <w:numPr>
          <w:ilvl w:val="0"/>
          <w:numId w:val="2"/>
        </w:numPr>
        <w:spacing w:before="100" w:beforeAutospacing="1" w:line="360" w:lineRule="atLeast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distsiplinarnaya-otvetstvennost" w:history="1">
        <w:r w:rsidRPr="003F2F3C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Дисциплинарная ответственность</w:t>
        </w:r>
      </w:hyperlink>
    </w:p>
    <w:p w:rsidR="003F2F3C" w:rsidRPr="003F2F3C" w:rsidRDefault="003F2F3C" w:rsidP="003F2F3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нарушения при обработке личных сведений можно лишиться денег, должности, а в отдельных ситуациях и свободы. </w:t>
      </w:r>
    </w:p>
    <w:p w:rsidR="003F2F3C" w:rsidRPr="003F2F3C" w:rsidRDefault="003F2F3C" w:rsidP="003F2F3C">
      <w:pPr>
        <w:shd w:val="clear" w:color="auto" w:fill="FFFFFF"/>
        <w:spacing w:before="675" w:after="450" w:line="240" w:lineRule="auto"/>
        <w:outlineLvl w:val="1"/>
        <w:rPr>
          <w:rFonts w:ascii="Times New Roman" w:eastAsia="Times New Roman" w:hAnsi="Times New Roman" w:cs="Times New Roman"/>
          <w:color w:val="222222"/>
          <w:sz w:val="53"/>
          <w:szCs w:val="53"/>
          <w:lang w:eastAsia="ru-RU"/>
        </w:rPr>
      </w:pPr>
      <w:bookmarkStart w:id="0" w:name="vidy-otvetstvennosti-za-narushenie-zakon"/>
      <w:bookmarkEnd w:id="0"/>
      <w:r w:rsidRPr="003F2F3C">
        <w:rPr>
          <w:rFonts w:ascii="Times New Roman" w:eastAsia="Times New Roman" w:hAnsi="Times New Roman" w:cs="Times New Roman"/>
          <w:color w:val="222222"/>
          <w:sz w:val="53"/>
          <w:szCs w:val="53"/>
          <w:lang w:eastAsia="ru-RU"/>
        </w:rPr>
        <w:t>Виды ответственности за нарушение закона о персональных данных</w:t>
      </w:r>
    </w:p>
    <w:p w:rsidR="003F2F3C" w:rsidRPr="003F2F3C" w:rsidRDefault="003F2F3C" w:rsidP="003F2F3C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F3C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Уголовная</w:t>
      </w:r>
      <w:r w:rsidRPr="003F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зависимости от тяжести нарушения суд может назначить разные наказания: от крупных штрафов до лишения свободы, причем, чтобы ответить по статье, достаточно рассказать чужую личную информацию всего одному человеку.</w:t>
      </w:r>
    </w:p>
    <w:p w:rsidR="003F2F3C" w:rsidRPr="003F2F3C" w:rsidRDefault="003F2F3C" w:rsidP="003F2F3C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F2F3C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Административная</w:t>
      </w:r>
      <w:proofErr w:type="gramEnd"/>
      <w:r w:rsidRPr="003F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суд предпишет заплатить штраф или ограничится предупреждением.</w:t>
      </w:r>
    </w:p>
    <w:p w:rsidR="003F2F3C" w:rsidRPr="003F2F3C" w:rsidRDefault="003F2F3C" w:rsidP="003F2F3C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F3C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Гражданско-правовая</w:t>
      </w:r>
      <w:r w:rsidRPr="003F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необходимо будет возместить материальный или моральный ущерб</w:t>
      </w:r>
    </w:p>
    <w:p w:rsidR="003F2F3C" w:rsidRPr="003F2F3C" w:rsidRDefault="003F2F3C" w:rsidP="003F2F3C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F2F3C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Дисциплинарная</w:t>
      </w:r>
      <w:proofErr w:type="gramEnd"/>
      <w:r w:rsidRPr="003F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предполагает замечание или выговор, иногда дело может дойти до увольнения.</w:t>
      </w:r>
    </w:p>
    <w:p w:rsidR="003F2F3C" w:rsidRDefault="003F2F3C" w:rsidP="003F2F3C">
      <w:pPr>
        <w:shd w:val="clear" w:color="auto" w:fill="FFFFFF"/>
        <w:spacing w:before="450" w:line="360" w:lineRule="atLeast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  <w:bookmarkStart w:id="1" w:name="ugolovnaya-otvetstvennost"/>
      <w:bookmarkEnd w:id="1"/>
    </w:p>
    <w:p w:rsidR="003F2F3C" w:rsidRDefault="003F2F3C" w:rsidP="003F2F3C">
      <w:pPr>
        <w:shd w:val="clear" w:color="auto" w:fill="FFFFFF"/>
        <w:spacing w:before="450" w:line="360" w:lineRule="atLeast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</w:p>
    <w:p w:rsidR="003F2F3C" w:rsidRDefault="003F2F3C" w:rsidP="003F2F3C">
      <w:pPr>
        <w:shd w:val="clear" w:color="auto" w:fill="FFFFFF"/>
        <w:spacing w:before="450" w:line="360" w:lineRule="atLeast"/>
        <w:jc w:val="center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</w:p>
    <w:p w:rsidR="003F2F3C" w:rsidRPr="003F2F3C" w:rsidRDefault="003F2F3C" w:rsidP="003F2F3C">
      <w:pPr>
        <w:shd w:val="clear" w:color="auto" w:fill="FFFFFF"/>
        <w:spacing w:before="450" w:line="360" w:lineRule="atLeast"/>
        <w:jc w:val="center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  <w:r w:rsidRPr="003F2F3C"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  <w:lastRenderedPageBreak/>
        <w:t>Уголовная ответственность</w:t>
      </w:r>
    </w:p>
    <w:tbl>
      <w:tblPr>
        <w:tblW w:w="9939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Layout w:type="fixed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128"/>
        <w:gridCol w:w="3402"/>
        <w:gridCol w:w="2409"/>
      </w:tblGrid>
      <w:tr w:rsidR="003F2F3C" w:rsidRPr="003F2F3C" w:rsidTr="003F2F3C"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Нарушение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Возможные наказания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Норма закона</w:t>
            </w:r>
          </w:p>
        </w:tc>
      </w:tr>
      <w:tr w:rsidR="003F2F3C" w:rsidRPr="003F2F3C" w:rsidTr="003F2F3C"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numPr>
                <w:ilvl w:val="0"/>
                <w:numId w:val="4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Сбор или распространение данных, которые составляют личную или семейную тайну человека, без его согласия.</w:t>
            </w:r>
          </w:p>
          <w:p w:rsidR="003F2F3C" w:rsidRPr="003F2F3C" w:rsidRDefault="003F2F3C" w:rsidP="003F2F3C">
            <w:pPr>
              <w:numPr>
                <w:ilvl w:val="0"/>
                <w:numId w:val="4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Обнародование таких данных.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Стоит понимать, что у понятий «личная тайна» и «семейная тайна» нет конкретных определений.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целом, личной тайной считается все, что человек, хотел бы скрыть: болезнь, религиозные убеждения, уровень обеспеченности и т.д.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Понятие семейной тайны немного конкретнее: это информация об отношениях с родственниками, социально-бытовых условиях жизни и т.д.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5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  <w:p w:rsidR="003F2F3C" w:rsidRPr="003F2F3C" w:rsidRDefault="003F2F3C" w:rsidP="003F2F3C">
            <w:pPr>
              <w:numPr>
                <w:ilvl w:val="0"/>
                <w:numId w:val="5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обязательные, исправительные, принудительные работы</w:t>
            </w:r>
          </w:p>
          <w:p w:rsidR="003F2F3C" w:rsidRPr="003F2F3C" w:rsidRDefault="003F2F3C" w:rsidP="003F2F3C">
            <w:pPr>
              <w:numPr>
                <w:ilvl w:val="0"/>
                <w:numId w:val="5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лишение права вести профессиональную или другую деятельность</w:t>
            </w:r>
          </w:p>
          <w:p w:rsidR="003F2F3C" w:rsidRPr="003F2F3C" w:rsidRDefault="003F2F3C" w:rsidP="003F2F3C">
            <w:pPr>
              <w:numPr>
                <w:ilvl w:val="0"/>
                <w:numId w:val="5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арест, лишение свободы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137 статья УК РФ, ч. 1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повторные — 137 </w:t>
            </w:r>
            <w:proofErr w:type="spellStart"/>
            <w:proofErr w:type="gram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ч 2</w:t>
            </w:r>
          </w:p>
        </w:tc>
      </w:tr>
      <w:tr w:rsidR="003F2F3C" w:rsidRPr="003F2F3C" w:rsidTr="003F2F3C"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Незаконное обнародование информации о потерпевшем, которому нет 16 лет, если эта информация: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касается уголовного дела.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раскрывает его страдания, полученный вред и подобные последствия, связанные с преступлением.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6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  <w:p w:rsidR="003F2F3C" w:rsidRPr="003F2F3C" w:rsidRDefault="003F2F3C" w:rsidP="003F2F3C">
            <w:pPr>
              <w:numPr>
                <w:ilvl w:val="0"/>
                <w:numId w:val="6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лишение права вести профессиональную или другую деятельность</w:t>
            </w:r>
          </w:p>
          <w:p w:rsidR="003F2F3C" w:rsidRPr="003F2F3C" w:rsidRDefault="003F2F3C" w:rsidP="003F2F3C">
            <w:pPr>
              <w:numPr>
                <w:ilvl w:val="0"/>
                <w:numId w:val="6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принудительные работы</w:t>
            </w:r>
          </w:p>
          <w:p w:rsidR="003F2F3C" w:rsidRPr="003F2F3C" w:rsidRDefault="003F2F3C" w:rsidP="003F2F3C">
            <w:pPr>
              <w:numPr>
                <w:ilvl w:val="0"/>
                <w:numId w:val="6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арест, лишение свободы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137 статья УК РФ, ч. 3</w:t>
            </w:r>
          </w:p>
        </w:tc>
      </w:tr>
      <w:tr w:rsidR="003F2F3C" w:rsidRPr="003F2F3C" w:rsidTr="003F2F3C"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Чиновник неправомерно отказался </w:t>
            </w:r>
            <w:proofErr w:type="gram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предоставить человеку документы</w:t>
            </w:r>
            <w:proofErr w:type="gram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затрагивающие его права и свободы, либо предоставил ему неполную или заведомо ложную информацию — при условии, что эти действия нанесли вред правам и законным интересам граждан.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8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  <w:p w:rsidR="003F2F3C" w:rsidRPr="003F2F3C" w:rsidRDefault="003F2F3C" w:rsidP="003F2F3C">
            <w:pPr>
              <w:numPr>
                <w:ilvl w:val="0"/>
                <w:numId w:val="8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лишение права вести профессиональную или другую деятельность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статья УК РФ</w:t>
            </w:r>
          </w:p>
        </w:tc>
      </w:tr>
      <w:tr w:rsidR="003F2F3C" w:rsidRPr="003F2F3C" w:rsidTr="003F2F3C"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Неправомерный доступ к компьютерной информации, которая охраняется законом, если это вызвало ее уничтожение, блокирование, изменение или копирование.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Под неправомерным доступом здесь подразумевают любое взаимодействие с данными, на которое нет разрешения собственника или другого законного пользователя.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9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  <w:p w:rsidR="003F2F3C" w:rsidRPr="003F2F3C" w:rsidRDefault="003F2F3C" w:rsidP="003F2F3C">
            <w:pPr>
              <w:numPr>
                <w:ilvl w:val="0"/>
                <w:numId w:val="9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исправительные, принудительные работы</w:t>
            </w:r>
          </w:p>
          <w:p w:rsidR="003F2F3C" w:rsidRPr="003F2F3C" w:rsidRDefault="003F2F3C" w:rsidP="003F2F3C">
            <w:pPr>
              <w:numPr>
                <w:ilvl w:val="0"/>
                <w:numId w:val="9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ограничение свободы</w:t>
            </w:r>
          </w:p>
          <w:p w:rsidR="003F2F3C" w:rsidRPr="003F2F3C" w:rsidRDefault="003F2F3C" w:rsidP="003F2F3C">
            <w:pPr>
              <w:numPr>
                <w:ilvl w:val="0"/>
                <w:numId w:val="9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лишение свободы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 статья УК РФ, ч. 1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ущерб от 1 млн.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— 272 статья, </w:t>
            </w:r>
            <w:proofErr w:type="gram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proofErr w:type="gram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</w:tr>
      <w:tr w:rsidR="003F2F3C" w:rsidRPr="003F2F3C" w:rsidTr="003F2F3C"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Описанные в 1 и 2 частях статьи правонарушения, если они были совершены:</w:t>
            </w:r>
          </w:p>
          <w:p w:rsidR="003F2F3C" w:rsidRPr="003F2F3C" w:rsidRDefault="003F2F3C" w:rsidP="003F2F3C">
            <w:pPr>
              <w:numPr>
                <w:ilvl w:val="0"/>
                <w:numId w:val="10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группой лиц по предварительному сговору;</w:t>
            </w:r>
          </w:p>
          <w:p w:rsidR="003F2F3C" w:rsidRPr="003F2F3C" w:rsidRDefault="003F2F3C" w:rsidP="003F2F3C">
            <w:pPr>
              <w:numPr>
                <w:ilvl w:val="0"/>
                <w:numId w:val="10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организованной группой;</w:t>
            </w:r>
          </w:p>
          <w:p w:rsidR="003F2F3C" w:rsidRPr="003F2F3C" w:rsidRDefault="003F2F3C" w:rsidP="003F2F3C">
            <w:pPr>
              <w:numPr>
                <w:ilvl w:val="0"/>
                <w:numId w:val="10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использованием служебного положения.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11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  <w:p w:rsidR="003F2F3C" w:rsidRPr="003F2F3C" w:rsidRDefault="003F2F3C" w:rsidP="003F2F3C">
            <w:pPr>
              <w:numPr>
                <w:ilvl w:val="0"/>
                <w:numId w:val="11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ограничение свободы</w:t>
            </w:r>
          </w:p>
          <w:p w:rsidR="003F2F3C" w:rsidRPr="003F2F3C" w:rsidRDefault="003F2F3C" w:rsidP="003F2F3C">
            <w:pPr>
              <w:numPr>
                <w:ilvl w:val="0"/>
                <w:numId w:val="11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принудительные работы</w:t>
            </w:r>
          </w:p>
          <w:p w:rsidR="003F2F3C" w:rsidRPr="003F2F3C" w:rsidRDefault="003F2F3C" w:rsidP="003F2F3C">
            <w:pPr>
              <w:numPr>
                <w:ilvl w:val="0"/>
                <w:numId w:val="11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лишение свободы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 статья УК РФ, ч. 3</w:t>
            </w:r>
          </w:p>
        </w:tc>
      </w:tr>
      <w:tr w:rsidR="003F2F3C" w:rsidRPr="003F2F3C" w:rsidTr="003F2F3C"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Правонарушения, описанные в 1, 2 и 3 частях статьи, если они вызвали тяжкие последствия или угрозу их наступления (к таким случаям относят, например, смерть, существенный вред здоровью).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лишение свободы до 7 лет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 статья УК РФ, ч. 4</w:t>
            </w:r>
          </w:p>
        </w:tc>
      </w:tr>
    </w:tbl>
    <w:p w:rsidR="003F2F3C" w:rsidRPr="003F2F3C" w:rsidRDefault="003F2F3C" w:rsidP="003F2F3C">
      <w:pPr>
        <w:shd w:val="clear" w:color="auto" w:fill="FFFFFF"/>
        <w:spacing w:before="450" w:line="360" w:lineRule="atLeast"/>
        <w:jc w:val="center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  <w:bookmarkStart w:id="2" w:name="administrativnaya-otvetstvennost"/>
      <w:bookmarkEnd w:id="2"/>
      <w:r w:rsidRPr="003F2F3C"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  <w:t>Административная ответственность</w:t>
      </w:r>
    </w:p>
    <w:tbl>
      <w:tblPr>
        <w:tblW w:w="9939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Layout w:type="fixed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128"/>
        <w:gridCol w:w="3402"/>
        <w:gridCol w:w="2409"/>
      </w:tblGrid>
      <w:tr w:rsidR="003F2F3C" w:rsidRPr="003F2F3C" w:rsidTr="003F2F3C">
        <w:trPr>
          <w:trHeight w:val="75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Нарушение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Что грозит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Норма закона</w:t>
            </w:r>
          </w:p>
        </w:tc>
      </w:tr>
      <w:tr w:rsidR="003F2F3C" w:rsidRPr="003F2F3C" w:rsidTr="003F2F3C">
        <w:trPr>
          <w:trHeight w:val="183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numPr>
                <w:ilvl w:val="0"/>
                <w:numId w:val="12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Отказ предоставить гражданину (в том числе адвокату) или организации сведений, которые федеральные законы предписывают предоставлять.</w:t>
            </w:r>
          </w:p>
          <w:p w:rsidR="003F2F3C" w:rsidRPr="003F2F3C" w:rsidRDefault="003F2F3C" w:rsidP="003F2F3C">
            <w:pPr>
              <w:numPr>
                <w:ilvl w:val="0"/>
                <w:numId w:val="12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позднее положенного срока.</w:t>
            </w:r>
          </w:p>
          <w:p w:rsidR="003F2F3C" w:rsidRPr="003F2F3C" w:rsidRDefault="003F2F3C" w:rsidP="003F2F3C">
            <w:pPr>
              <w:numPr>
                <w:ilvl w:val="0"/>
                <w:numId w:val="12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заведомо недостоверных данных.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 5-10 тыс.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5.39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numPr>
                <w:ilvl w:val="0"/>
                <w:numId w:val="13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Обработка личных сведений в случаях, не предусмотренных законами о ПД.</w:t>
            </w:r>
          </w:p>
          <w:p w:rsidR="003F2F3C" w:rsidRPr="003F2F3C" w:rsidRDefault="003F2F3C" w:rsidP="003F2F3C">
            <w:pPr>
              <w:numPr>
                <w:ilvl w:val="0"/>
                <w:numId w:val="13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Обработка личных сведений, которая не отвечает целям сбора ПД, заявленным оператором. Исключение — ситуации, оговоренные 2 частью статьи, если эти действия не включают уголовно наказуемого деяния.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14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</w:t>
            </w:r>
          </w:p>
          <w:p w:rsidR="003F2F3C" w:rsidRPr="003F2F3C" w:rsidRDefault="003F2F3C" w:rsidP="003F2F3C">
            <w:pPr>
              <w:numPr>
                <w:ilvl w:val="0"/>
                <w:numId w:val="14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РФ, ч. 1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D936E6" w:rsidP="003F2F3C">
            <w:pPr>
              <w:numPr>
                <w:ilvl w:val="0"/>
                <w:numId w:val="15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Обработ</w:t>
            </w:r>
            <w:r w:rsidR="003F2F3C"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 личной информации без письменного согласия человека в тех случаях, когда его требует законодательство, если эти действия не содержат уголовно наказуемого деяния.</w:t>
            </w:r>
          </w:p>
          <w:p w:rsidR="003F2F3C" w:rsidRPr="003F2F3C" w:rsidRDefault="003F2F3C" w:rsidP="00D936E6">
            <w:pPr>
              <w:numPr>
                <w:ilvl w:val="0"/>
                <w:numId w:val="15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Письменное согласие на обработку есть, но оператор собирает не только те сведения, что в этом согласии перечислены.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16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 от 3 до 75 тыс.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РФ, ч. 2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открытом доступе документа, разъясняющего политику в отношении обработки и защиты личной информации.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17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</w:t>
            </w:r>
          </w:p>
          <w:p w:rsidR="003F2F3C" w:rsidRPr="003F2F3C" w:rsidRDefault="003F2F3C" w:rsidP="003F2F3C">
            <w:pPr>
              <w:numPr>
                <w:ilvl w:val="0"/>
                <w:numId w:val="17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ч. 3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человеку сведений, касающихся обработки его личной информации.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штраф от 1 до 40 тыс.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РФ, ч. 4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Оператор не уточнил, не заблокировал или не удалил в оговоренный законом срок личностные данные, которые устарели, оказались неточными, </w:t>
            </w:r>
            <w:proofErr w:type="gram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были</w:t>
            </w:r>
            <w:proofErr w:type="gram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получены незаконно или не отвечали заявленным оператором целям.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18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</w:t>
            </w:r>
          </w:p>
          <w:p w:rsidR="003F2F3C" w:rsidRPr="003F2F3C" w:rsidRDefault="003F2F3C" w:rsidP="003F2F3C">
            <w:pPr>
              <w:numPr>
                <w:ilvl w:val="0"/>
                <w:numId w:val="18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РФ, ч. 5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Оператор недостаточно надежно хранил ПД на материальных носителях, и информация попала к третьим лицам — неважно, целенаправленно они ее получили или случайно.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Получив информацию, третья сторона ее уничтожила, как-то изменила, скопировала или провела еще какие-то операции, но при отсутствии признаков уголовно наказуемых действий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 от 700 рублей  до 50 тыс.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РФ, ч. 6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 управления не обезличил ПД вопреки закону или не применил для этого установленные законом методы.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19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</w:t>
            </w:r>
          </w:p>
          <w:p w:rsidR="003F2F3C" w:rsidRPr="003F2F3C" w:rsidRDefault="003F2F3C" w:rsidP="003F2F3C">
            <w:pPr>
              <w:numPr>
                <w:ilvl w:val="0"/>
                <w:numId w:val="19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РФ, ч. 7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Оператор не сообщил вовремя или совсем не сообщил положенные законом данные госоргану или чиновнику.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сообщение ложных или неполных данных также придется ответить в суде.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numPr>
                <w:ilvl w:val="0"/>
                <w:numId w:val="20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</w:t>
            </w:r>
          </w:p>
          <w:p w:rsidR="003F2F3C" w:rsidRPr="003F2F3C" w:rsidRDefault="003F2F3C" w:rsidP="003F2F3C">
            <w:pPr>
              <w:numPr>
                <w:ilvl w:val="0"/>
                <w:numId w:val="20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штраф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Статья 19.7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</w:t>
            </w:r>
          </w:p>
        </w:tc>
      </w:tr>
    </w:tbl>
    <w:p w:rsidR="003F2F3C" w:rsidRPr="003F2F3C" w:rsidRDefault="003F2F3C" w:rsidP="003F2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555555"/>
          <w:sz w:val="23"/>
          <w:szCs w:val="23"/>
          <w:lang w:eastAsia="ru-RU"/>
        </w:rPr>
      </w:pPr>
    </w:p>
    <w:tbl>
      <w:tblPr>
        <w:tblW w:w="9939" w:type="dxa"/>
        <w:tblBorders>
          <w:left w:val="single" w:sz="24" w:space="0" w:color="EC1C24"/>
        </w:tblBorders>
        <w:shd w:val="clear" w:color="auto" w:fill="EDF0F3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9939"/>
      </w:tblGrid>
      <w:tr w:rsidR="003F2F3C" w:rsidRPr="003F2F3C" w:rsidTr="003F2F3C">
        <w:tc>
          <w:tcPr>
            <w:tcW w:w="9939" w:type="dxa"/>
            <w:shd w:val="clear" w:color="auto" w:fill="EDF0F3"/>
            <w:vAlign w:val="center"/>
            <w:hideMark/>
          </w:tcPr>
          <w:p w:rsidR="00D936E6" w:rsidRDefault="00D936E6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lang w:eastAsia="ru-RU"/>
              </w:rPr>
            </w:pPr>
          </w:p>
          <w:p w:rsidR="00D936E6" w:rsidRDefault="00D936E6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lang w:eastAsia="ru-RU"/>
              </w:rPr>
            </w:pP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lang w:eastAsia="ru-RU"/>
              </w:rPr>
              <w:t>Важно!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декабря 2019 года изменена статья 13.11 </w:t>
            </w:r>
            <w:proofErr w:type="spellStart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Теперь отдельное наказание предусмотрено тем, кто хранит персональные данные на серверах вне территории России. Штрафы внушительные: до 6 миллионов рублей за первое нарушение и до 18 миллионов рублей — за повторное.</w:t>
            </w:r>
          </w:p>
        </w:tc>
      </w:tr>
    </w:tbl>
    <w:p w:rsidR="003F2F3C" w:rsidRPr="003F2F3C" w:rsidRDefault="003F2F3C" w:rsidP="00D936E6">
      <w:pPr>
        <w:shd w:val="clear" w:color="auto" w:fill="FFFFFF"/>
        <w:spacing w:before="450" w:line="360" w:lineRule="atLeast"/>
        <w:jc w:val="center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  <w:bookmarkStart w:id="3" w:name="grazhdansko-pravovaya-otvetstvennost"/>
      <w:bookmarkEnd w:id="3"/>
      <w:r w:rsidRPr="003F2F3C"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  <w:t>Гражданско-правовая ответственность</w:t>
      </w:r>
    </w:p>
    <w:tbl>
      <w:tblPr>
        <w:tblW w:w="9939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128"/>
        <w:gridCol w:w="3402"/>
        <w:gridCol w:w="2409"/>
      </w:tblGrid>
      <w:tr w:rsidR="003F2F3C" w:rsidRPr="003F2F3C" w:rsidTr="003F2F3C">
        <w:trPr>
          <w:trHeight w:val="75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Нарушение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Что грозит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Норма закона</w:t>
            </w:r>
          </w:p>
        </w:tc>
      </w:tr>
      <w:tr w:rsidR="003F2F3C" w:rsidRPr="003F2F3C" w:rsidTr="003F2F3C">
        <w:trPr>
          <w:trHeight w:val="2085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Оператор нарушил правила обработки личной информации, из-за чего человек понес материальные потери.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 могут быть:</w:t>
            </w:r>
          </w:p>
          <w:p w:rsidR="003F2F3C" w:rsidRPr="003F2F3C" w:rsidRDefault="003F2F3C" w:rsidP="003F2F3C">
            <w:pPr>
              <w:numPr>
                <w:ilvl w:val="0"/>
                <w:numId w:val="21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затраты на восстановление нарушенных прав потеря;</w:t>
            </w:r>
          </w:p>
          <w:p w:rsidR="003F2F3C" w:rsidRPr="003F2F3C" w:rsidRDefault="003F2F3C" w:rsidP="003F2F3C">
            <w:pPr>
              <w:numPr>
                <w:ilvl w:val="0"/>
                <w:numId w:val="21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порча имущества;</w:t>
            </w:r>
          </w:p>
          <w:p w:rsidR="003F2F3C" w:rsidRPr="003F2F3C" w:rsidRDefault="003F2F3C" w:rsidP="003F2F3C">
            <w:pPr>
              <w:numPr>
                <w:ilvl w:val="0"/>
                <w:numId w:val="21"/>
              </w:numPr>
              <w:spacing w:before="100" w:beforeAutospacing="1" w:after="12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упущенная выгода.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Полное возмещение убытков, если только меньший объем выплат не установлен законом или договором.</w:t>
            </w:r>
          </w:p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виновник как-то нажился на чужой личной информации, ее владелец вправе потребовать в дополнение упущенную выгоду в размере не меньшем, чем полученные нарушителем доходы.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Статья 15 Гражданского кодекса</w:t>
            </w:r>
          </w:p>
        </w:tc>
      </w:tr>
      <w:tr w:rsidR="003F2F3C" w:rsidRPr="003F2F3C" w:rsidTr="003F2F3C">
        <w:trPr>
          <w:trHeight w:val="210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Оператор нарушил правила обработки личностных сведений, что повлекло для человека моральный вред.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Компенсация морального вреда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Статья 24 Закона «О персональных данных»</w:t>
            </w:r>
          </w:p>
        </w:tc>
      </w:tr>
    </w:tbl>
    <w:p w:rsidR="003F2F3C" w:rsidRDefault="003F2F3C" w:rsidP="003F2F3C">
      <w:pPr>
        <w:shd w:val="clear" w:color="auto" w:fill="FFFFFF"/>
        <w:spacing w:before="450" w:line="360" w:lineRule="atLeast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  <w:bookmarkStart w:id="4" w:name="distsiplinarnaya-otvetstvennost"/>
      <w:bookmarkEnd w:id="4"/>
    </w:p>
    <w:p w:rsidR="003F2F3C" w:rsidRPr="003F2F3C" w:rsidRDefault="003F2F3C" w:rsidP="00D936E6">
      <w:pPr>
        <w:shd w:val="clear" w:color="auto" w:fill="FFFFFF"/>
        <w:spacing w:before="450" w:line="360" w:lineRule="atLeast"/>
        <w:jc w:val="center"/>
        <w:outlineLvl w:val="2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  <w:r w:rsidRPr="003F2F3C"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  <w:t>Дисциплинарная ответственность</w:t>
      </w:r>
    </w:p>
    <w:tbl>
      <w:tblPr>
        <w:tblW w:w="9933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128"/>
        <w:gridCol w:w="3402"/>
        <w:gridCol w:w="2403"/>
      </w:tblGrid>
      <w:tr w:rsidR="003F2F3C" w:rsidRPr="003F2F3C" w:rsidTr="003F2F3C">
        <w:trPr>
          <w:trHeight w:val="75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Нарушение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Что грозит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ECF0F1"/>
                <w:sz w:val="27"/>
                <w:szCs w:val="27"/>
                <w:lang w:eastAsia="ru-RU"/>
              </w:rPr>
              <w:t>Норма закона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Сотрудник придал огласке личную информацию другого сотрудника, которые он выяснил в ходе работы.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Увольнение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Статья 81, пункт 6, подпункт «в» Трудового кодекса</w:t>
            </w:r>
          </w:p>
        </w:tc>
      </w:tr>
      <w:tr w:rsidR="003F2F3C" w:rsidRPr="003F2F3C" w:rsidTr="003F2F3C">
        <w:trPr>
          <w:trHeight w:val="270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 допустил какие-либо другие нарушения при работе с личной информацией.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Замечание или выговор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F3C" w:rsidRPr="003F2F3C" w:rsidRDefault="003F2F3C" w:rsidP="003F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2F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Статья 90 и статья 192 ТК РФ</w:t>
            </w:r>
          </w:p>
        </w:tc>
      </w:tr>
    </w:tbl>
    <w:p w:rsidR="00527876" w:rsidRPr="003F2F3C" w:rsidRDefault="00527876">
      <w:pPr>
        <w:rPr>
          <w:rFonts w:ascii="Times New Roman" w:hAnsi="Times New Roman" w:cs="Times New Roman"/>
        </w:rPr>
      </w:pPr>
    </w:p>
    <w:sectPr w:rsidR="00527876" w:rsidRPr="003F2F3C" w:rsidSect="003F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687"/>
    <w:multiLevelType w:val="multilevel"/>
    <w:tmpl w:val="47E4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6F7B"/>
    <w:multiLevelType w:val="multilevel"/>
    <w:tmpl w:val="70C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64450"/>
    <w:multiLevelType w:val="multilevel"/>
    <w:tmpl w:val="EB9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C546E"/>
    <w:multiLevelType w:val="multilevel"/>
    <w:tmpl w:val="85C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178E9"/>
    <w:multiLevelType w:val="multilevel"/>
    <w:tmpl w:val="9F5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6493D"/>
    <w:multiLevelType w:val="multilevel"/>
    <w:tmpl w:val="FF8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143E8"/>
    <w:multiLevelType w:val="multilevel"/>
    <w:tmpl w:val="CC7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71225"/>
    <w:multiLevelType w:val="multilevel"/>
    <w:tmpl w:val="AF0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B3D7E"/>
    <w:multiLevelType w:val="multilevel"/>
    <w:tmpl w:val="9CA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E185D"/>
    <w:multiLevelType w:val="multilevel"/>
    <w:tmpl w:val="A446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F275E"/>
    <w:multiLevelType w:val="multilevel"/>
    <w:tmpl w:val="EB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85FFD"/>
    <w:multiLevelType w:val="multilevel"/>
    <w:tmpl w:val="87DC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16EBC"/>
    <w:multiLevelType w:val="multilevel"/>
    <w:tmpl w:val="DE3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22676"/>
    <w:multiLevelType w:val="multilevel"/>
    <w:tmpl w:val="619A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00C61"/>
    <w:multiLevelType w:val="multilevel"/>
    <w:tmpl w:val="507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11013"/>
    <w:multiLevelType w:val="multilevel"/>
    <w:tmpl w:val="A7E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C3A67"/>
    <w:multiLevelType w:val="multilevel"/>
    <w:tmpl w:val="6AB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E86B96"/>
    <w:multiLevelType w:val="multilevel"/>
    <w:tmpl w:val="71F2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674A1"/>
    <w:multiLevelType w:val="multilevel"/>
    <w:tmpl w:val="066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3109C"/>
    <w:multiLevelType w:val="multilevel"/>
    <w:tmpl w:val="C36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A62B6"/>
    <w:multiLevelType w:val="multilevel"/>
    <w:tmpl w:val="3A1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6187E"/>
    <w:multiLevelType w:val="multilevel"/>
    <w:tmpl w:val="785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9"/>
  </w:num>
  <w:num w:numId="5">
    <w:abstractNumId w:val="6"/>
  </w:num>
  <w:num w:numId="6">
    <w:abstractNumId w:val="21"/>
  </w:num>
  <w:num w:numId="7">
    <w:abstractNumId w:val="16"/>
  </w:num>
  <w:num w:numId="8">
    <w:abstractNumId w:val="17"/>
  </w:num>
  <w:num w:numId="9">
    <w:abstractNumId w:val="13"/>
  </w:num>
  <w:num w:numId="10">
    <w:abstractNumId w:val="15"/>
  </w:num>
  <w:num w:numId="11">
    <w:abstractNumId w:val="20"/>
  </w:num>
  <w:num w:numId="12">
    <w:abstractNumId w:val="5"/>
  </w:num>
  <w:num w:numId="13">
    <w:abstractNumId w:val="7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0"/>
  </w:num>
  <w:num w:numId="19">
    <w:abstractNumId w:val="0"/>
  </w:num>
  <w:num w:numId="20">
    <w:abstractNumId w:val="19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2F3C"/>
    <w:rsid w:val="003F2F3C"/>
    <w:rsid w:val="00527876"/>
    <w:rsid w:val="00D9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76"/>
  </w:style>
  <w:style w:type="paragraph" w:styleId="1">
    <w:name w:val="heading 1"/>
    <w:basedOn w:val="a"/>
    <w:link w:val="10"/>
    <w:uiPriority w:val="9"/>
    <w:qFormat/>
    <w:rsid w:val="003F2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2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2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F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2F3C"/>
    <w:rPr>
      <w:color w:val="0000FF"/>
      <w:u w:val="single"/>
    </w:rPr>
  </w:style>
  <w:style w:type="character" w:customStyle="1" w:styleId="date">
    <w:name w:val="date"/>
    <w:basedOn w:val="a0"/>
    <w:rsid w:val="003F2F3C"/>
  </w:style>
  <w:style w:type="paragraph" w:styleId="a4">
    <w:name w:val="Normal (Web)"/>
    <w:basedOn w:val="a"/>
    <w:uiPriority w:val="99"/>
    <w:unhideWhenUsed/>
    <w:rsid w:val="003F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2F3C"/>
    <w:rPr>
      <w:b/>
      <w:bCs/>
    </w:rPr>
  </w:style>
  <w:style w:type="character" w:styleId="a6">
    <w:name w:val="Emphasis"/>
    <w:basedOn w:val="a0"/>
    <w:uiPriority w:val="20"/>
    <w:qFormat/>
    <w:rsid w:val="003F2F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408">
          <w:marLeft w:val="-240"/>
          <w:marRight w:val="-24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5687">
                          <w:marLeft w:val="0"/>
                          <w:marRight w:val="0"/>
                          <w:marTop w:val="0"/>
                          <w:marBottom w:val="12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866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5252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7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kadrovik.ru/articles/work-with-documents/otvetstvennost-personalnye-dannye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kadrovik.ru/articles/work-with-documents/otvetstvennost-personalnye-dannye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kadrovik.ru/articles/work-with-documents/otvetstvennost-personalnye-dannye-20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fkadrovik.ru/articles/work-with-documents/otvetstvennost-personalnye-dannye-20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fkadrovik.ru/articles/work-with-documents/otvetstvennost-personalnye-dannye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Ответственность за разглашение персональных данных в 2020 году</vt:lpstr>
      <vt:lpstr>    Виды ответственности за нарушение закона о персональных данных</vt:lpstr>
      <vt:lpstr>        </vt:lpstr>
      <vt:lpstr>        </vt:lpstr>
      <vt:lpstr>        </vt:lpstr>
      <vt:lpstr>        Уголовная ответственность</vt:lpstr>
      <vt:lpstr>        Административная ответственность</vt:lpstr>
      <vt:lpstr>        </vt:lpstr>
      <vt:lpstr>        </vt:lpstr>
      <vt:lpstr>        </vt:lpstr>
      <vt:lpstr>        </vt:lpstr>
      <vt:lpstr>        Гражданско-правовая ответственность</vt:lpstr>
      <vt:lpstr>        </vt:lpstr>
      <vt:lpstr>        Дисциплинарная ответственность</vt:lpstr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2020-10-08T14:08:00Z</dcterms:created>
  <dcterms:modified xsi:type="dcterms:W3CDTF">2020-10-08T14:21:00Z</dcterms:modified>
</cp:coreProperties>
</file>